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footer3.xml" ContentType="application/vnd.openxmlformats-officedocument.wordprocessingml.footer+xml"/>
  <Override PartName="/word/media/image1.png" ContentType="image/png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center"/>
        <w:rPr>
          <w:rFonts w:ascii="Times New Roman" w:hAnsi="Times New Roman" w:cs="Times New Roman"/>
        </w:rPr>
      </w:pPr>
      <w:r>
        <w:rPr/>
        <w:object w:dxaOrig="6465" w:dyaOrig="5505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width:67.5pt;height:60pt;mso-wrap-distance-right:0pt" filled="f" o:ole="">
            <v:imagedata r:id="rId3" o:title=""/>
          </v:shape>
          <o:OLEObject Type="Embed" ProgID="PBrush" ShapeID="ole_rId2" DrawAspect="Content" ObjectID="_1305571157" r:id="rId2"/>
        </w:objec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MINISTÉRIO DA DEFESA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EXÉRCITO BRASILEIRO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DEPÓSITO CENTRAL DE MUNIÇÃO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 xml:space="preserve">(D C M B / 1918) 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ANEXO II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ATA DE REGISTRO DE PREÇOS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 xml:space="preserve">Pregão Eletrônico (SRP) nº </w:t>
      </w:r>
      <w:r>
        <w:rPr>
          <w:rFonts w:eastAsia="Times New Roman" w:cs="Times New Roman" w:ascii="Times New Roman" w:hAnsi="Times New Roman"/>
          <w:b/>
          <w:lang w:val="pt-BR"/>
        </w:rPr>
        <w:t>900</w:t>
      </w:r>
      <w:r>
        <w:rPr>
          <w:rFonts w:eastAsia="Times New Roman" w:cs="Times New Roman" w:ascii="Times New Roman" w:hAnsi="Times New Roman"/>
          <w:b/>
          <w:lang w:val="pt-BR"/>
        </w:rPr>
        <w:t>01</w:t>
      </w:r>
      <w:r>
        <w:rPr>
          <w:rFonts w:eastAsia="Times New Roman" w:cs="Times New Roman" w:ascii="Times New Roman" w:hAnsi="Times New Roman"/>
          <w:b/>
        </w:rPr>
        <w:t>/202</w:t>
      </w:r>
      <w:r>
        <w:rPr>
          <w:rFonts w:eastAsia="Times New Roman" w:cs="Times New Roman" w:ascii="Times New Roman" w:hAnsi="Times New Roman"/>
          <w:b/>
          <w:lang w:val="pt-BR"/>
        </w:rPr>
        <w:t>5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 xml:space="preserve">(Processo Administrativo nº </w:t>
      </w:r>
      <w:r>
        <w:rPr>
          <w:rFonts w:eastAsia="Times New Roman" w:cs="Times New Roman" w:ascii="Times New Roman" w:hAnsi="Times New Roman"/>
          <w:b/>
          <w:bCs/>
          <w:lang w:val="pt-BR"/>
        </w:rPr>
        <w:t>64449.00</w:t>
      </w:r>
      <w:r>
        <w:rPr>
          <w:rFonts w:eastAsia="Times New Roman" w:cs="Times New Roman" w:ascii="Times New Roman" w:hAnsi="Times New Roman"/>
          <w:b/>
          <w:bCs/>
          <w:lang w:val="pt-BR"/>
        </w:rPr>
        <w:t>0178</w:t>
      </w:r>
      <w:r>
        <w:rPr>
          <w:rFonts w:eastAsia="Times New Roman" w:cs="Times New Roman" w:ascii="Times New Roman" w:hAnsi="Times New Roman"/>
          <w:b/>
          <w:bCs/>
          <w:lang w:val="pt-BR"/>
        </w:rPr>
        <w:t>/202</w:t>
      </w:r>
      <w:r>
        <w:rPr>
          <w:rFonts w:eastAsia="Times New Roman" w:cs="Times New Roman" w:ascii="Times New Roman" w:hAnsi="Times New Roman"/>
          <w:b/>
          <w:bCs/>
          <w:lang w:val="pt-BR"/>
        </w:rPr>
        <w:t>5</w:t>
      </w:r>
      <w:r>
        <w:rPr>
          <w:rFonts w:eastAsia="Times New Roman" w:cs="Times New Roman" w:ascii="Times New Roman" w:hAnsi="Times New Roman"/>
          <w:b/>
          <w:bCs/>
          <w:lang w:val="pt-BR"/>
        </w:rPr>
        <w:t xml:space="preserve">-31 </w:t>
      </w:r>
    </w:p>
    <w:p>
      <w:pPr>
        <w:pStyle w:val="Normal"/>
        <w:widowControl w:val="false"/>
        <w:spacing w:lineRule="auto" w:line="360"/>
        <w:ind w:right="-3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ivel01"/>
        <w:numPr>
          <w:ilvl w:val="0"/>
          <w:numId w:val="0"/>
        </w:numPr>
        <w:ind w:hanging="0" w:left="0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A União, por meio do Depósito Central de Munição, órgão do EXÉRCITO BRASILEIRO, com sede na Estrada RJ-127, km 6</w:t>
      </w:r>
      <w:r>
        <w:rPr>
          <w:rFonts w:cs="Times New Roman" w:ascii="Times New Roman" w:hAnsi="Times New Roman"/>
          <w:b w:val="false"/>
          <w:bCs w:val="false"/>
          <w:spacing w:val="-47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s/n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-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Cabral,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Paracambi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-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RJ,</w:t>
      </w:r>
      <w:r>
        <w:rPr>
          <w:rFonts w:cs="Times New Roman" w:ascii="Times New Roman" w:hAnsi="Times New Roman"/>
          <w:b w:val="false"/>
          <w:bCs w:val="false"/>
          <w:spacing w:val="1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26600-000,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inscrito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no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CNPJ/MF</w:t>
      </w:r>
      <w:r>
        <w:rPr>
          <w:rFonts w:cs="Times New Roman" w:ascii="Times New Roman" w:hAnsi="Times New Roman"/>
          <w:b w:val="false"/>
          <w:bCs w:val="false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sob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o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nº xxxxxxxxxxx,</w:t>
      </w:r>
      <w:r>
        <w:rPr>
          <w:rFonts w:cs="Times New Roman" w:ascii="Times New Roman" w:hAnsi="Times New Roman"/>
          <w:b w:val="false"/>
          <w:bCs w:val="false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neste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ato</w:t>
      </w:r>
      <w:r>
        <w:rPr>
          <w:rFonts w:cs="Times New Roman" w:ascii="Times New Roman" w:hAnsi="Times New Roman"/>
          <w:b w:val="false"/>
          <w:bCs w:val="false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representado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neste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ato </w:t>
      </w:r>
      <w:r>
        <w:rPr>
          <w:rFonts w:cs="Times New Roman" w:ascii="Times New Roman" w:hAnsi="Times New Roman"/>
          <w:b w:val="false"/>
          <w:bCs w:val="false"/>
          <w:spacing w:val="-4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pelo T</w:t>
      </w:r>
      <w:r>
        <w:rPr>
          <w:rFonts w:cs="Times New Roman" w:ascii="Times New Roman" w:hAnsi="Times New Roman"/>
          <w:b w:val="false"/>
          <w:bCs w:val="false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u w:val="single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ANDERSON MENDES DIA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u w:val="single"/>
        </w:rPr>
        <w:t>S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,</w:t>
      </w:r>
      <w:r>
        <w:rPr>
          <w:rFonts w:cs="Times New Roman" w:ascii="Times New Roman" w:hAnsi="Times New Roman"/>
          <w:b w:val="false"/>
          <w:bCs w:val="false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nomeado pela</w:t>
      </w:r>
      <w:r>
        <w:rPr>
          <w:rFonts w:cs="Times New Roman" w:ascii="Times New Roman" w:hAnsi="Times New Roman"/>
          <w:b w:val="false"/>
          <w:bCs w:val="false"/>
          <w:spacing w:val="6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Portaria</w:t>
      </w:r>
      <w:r>
        <w:rPr>
          <w:rFonts w:cs="Times New Roman" w:ascii="Times New Roman" w:hAnsi="Times New Roman"/>
          <w:b w:val="false"/>
          <w:bCs w:val="false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nº 485, de 12 de maio de 2022,</w:t>
      </w:r>
      <w:r>
        <w:rPr>
          <w:rFonts w:cs="Times New Roman" w:ascii="Times New Roman" w:hAnsi="Times New Roman"/>
          <w:b w:val="false"/>
          <w:bCs w:val="false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publicada</w:t>
      </w:r>
      <w:r>
        <w:rPr>
          <w:rFonts w:cs="Times New Roman" w:ascii="Times New Roman" w:hAnsi="Times New Roman"/>
          <w:b w:val="false"/>
          <w:bCs w:val="false"/>
          <w:spacing w:val="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no</w:t>
      </w:r>
      <w:r>
        <w:rPr>
          <w:rFonts w:cs="Times New Roman" w:ascii="Times New Roman" w:hAnsi="Times New Roman"/>
          <w:b w:val="false"/>
          <w:bCs w:val="false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Diário</w:t>
      </w:r>
      <w:r>
        <w:rPr>
          <w:rFonts w:cs="Times New Roman" w:ascii="Times New Roman" w:hAnsi="Times New Roman"/>
          <w:b w:val="false"/>
          <w:bCs w:val="false"/>
          <w:spacing w:val="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Oficial</w:t>
      </w:r>
      <w:r>
        <w:rPr>
          <w:rFonts w:cs="Times New Roman" w:ascii="Times New Roman" w:hAnsi="Times New Roman"/>
          <w:b w:val="false"/>
          <w:bCs w:val="false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da</w:t>
      </w:r>
      <w:r>
        <w:rPr>
          <w:rFonts w:cs="Times New Roman" w:ascii="Times New Roman" w:hAnsi="Times New Roman"/>
          <w:b w:val="false"/>
          <w:bCs w:val="false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União</w:t>
      </w:r>
      <w:r>
        <w:rPr>
          <w:rFonts w:cs="Times New Roman" w:ascii="Times New Roman" w:hAnsi="Times New Roman"/>
          <w:b w:val="false"/>
          <w:bCs w:val="false"/>
          <w:spacing w:val="-46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 nº</w:t>
      </w: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 xml:space="preserve"> 91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 de </w:t>
      </w: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 xml:space="preserve">16 de Maio de 2022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,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inscrito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no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CPF</w:t>
      </w:r>
      <w:r>
        <w:rPr>
          <w:rFonts w:cs="Times New Roman" w:ascii="Times New Roman" w:hAnsi="Times New Roman"/>
          <w:b w:val="false"/>
          <w:bCs w:val="false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sob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o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nº xxxxxxxxxxx,</w:t>
      </w:r>
      <w:r>
        <w:rPr>
          <w:rFonts w:cs="Times New Roman" w:ascii="Times New Roman" w:hAnsi="Times New Roman"/>
          <w:b w:val="false"/>
          <w:bCs w:val="false"/>
          <w:spacing w:val="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portador</w:t>
      </w:r>
      <w:r>
        <w:rPr>
          <w:rFonts w:cs="Times New Roman" w:ascii="Times New Roman" w:hAnsi="Times New Roman"/>
          <w:b w:val="false"/>
          <w:bCs w:val="false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da</w:t>
      </w:r>
      <w:r>
        <w:rPr>
          <w:rFonts w:cs="Times New Roman" w:ascii="Times New Roman" w:hAnsi="Times New Roman"/>
          <w:b w:val="false"/>
          <w:bCs w:val="false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Carteira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de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Identidade Nº  xxxxxxxxxxxx,</w:t>
      </w:r>
      <w:r>
        <w:rPr>
          <w:rFonts w:cs="Times New Roman" w:ascii="Times New Roman" w:hAnsi="Times New Roman"/>
          <w:b w:val="false"/>
          <w:bCs w:val="false"/>
          <w:spacing w:val="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expedida</w:t>
      </w:r>
      <w:r>
        <w:rPr>
          <w:rFonts w:cs="Times New Roman" w:ascii="Times New Roman" w:hAnsi="Times New Roman"/>
          <w:b w:val="false"/>
          <w:bCs w:val="false"/>
          <w:spacing w:val="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pelo Ministério da Defesa</w:t>
      </w:r>
      <w:r>
        <w:rPr>
          <w:rFonts w:cs="Times New Roman" w:ascii="Times New Roman" w:hAnsi="Times New Roman"/>
          <w:b w:val="false"/>
          <w:bCs w:val="false"/>
          <w:spacing w:val="-1"/>
          <w:sz w:val="24"/>
          <w:szCs w:val="24"/>
        </w:rPr>
        <w:t>,</w:t>
      </w:r>
      <w:r>
        <w:rPr>
          <w:rFonts w:cs="Times New Roman" w:ascii="Times New Roman" w:hAnsi="Times New Roman"/>
          <w:b w:val="false"/>
          <w:bCs w:val="false"/>
          <w:spacing w:val="-4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considerando</w:t>
      </w:r>
      <w:r>
        <w:rPr>
          <w:rFonts w:cs="Times New Roman" w:ascii="Times New Roman" w:hAnsi="Times New Roman"/>
          <w:b w:val="false"/>
          <w:bCs w:val="false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o</w:t>
      </w:r>
      <w:r>
        <w:rPr>
          <w:rFonts w:cs="Times New Roman" w:ascii="Times New Roman" w:hAnsi="Times New Roman"/>
          <w:b w:val="false"/>
          <w:bCs w:val="false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julgamento</w:t>
      </w:r>
      <w:r>
        <w:rPr>
          <w:rFonts w:cs="Times New Roman" w:ascii="Times New Roman" w:hAnsi="Times New Roman"/>
          <w:b w:val="false"/>
          <w:bCs w:val="false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da</w:t>
      </w:r>
      <w:r>
        <w:rPr>
          <w:rFonts w:cs="Times New Roman" w:ascii="Times New Roman" w:hAnsi="Times New Roman"/>
          <w:b w:val="false"/>
          <w:bCs w:val="false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licitação</w:t>
      </w:r>
      <w:r>
        <w:rPr>
          <w:rFonts w:cs="Times New Roman" w:ascii="Times New Roman" w:hAnsi="Times New Roman"/>
          <w:b w:val="false"/>
          <w:bCs w:val="false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na</w:t>
      </w:r>
      <w:r>
        <w:rPr>
          <w:rFonts w:cs="Times New Roman" w:ascii="Times New Roman" w:hAnsi="Times New Roman"/>
          <w:b w:val="false"/>
          <w:bCs w:val="false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modalidade</w:t>
      </w:r>
      <w:r>
        <w:rPr>
          <w:rFonts w:cs="Times New Roman" w:ascii="Times New Roman" w:hAnsi="Times New Roman"/>
          <w:b w:val="false"/>
          <w:bCs w:val="false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de</w:t>
      </w:r>
      <w:r>
        <w:rPr>
          <w:rFonts w:cs="Times New Roman" w:ascii="Times New Roman" w:hAnsi="Times New Roman"/>
          <w:b w:val="false"/>
          <w:bCs w:val="false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PREGÃO,</w:t>
      </w:r>
      <w:r>
        <w:rPr>
          <w:rFonts w:cs="Times New Roman" w:ascii="Times New Roman" w:hAnsi="Times New Roman"/>
          <w:b w:val="false"/>
          <w:bCs w:val="false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na</w:t>
      </w:r>
      <w:r>
        <w:rPr>
          <w:rFonts w:cs="Times New Roman" w:ascii="Times New Roman" w:hAnsi="Times New Roman"/>
          <w:b w:val="false"/>
          <w:bCs w:val="false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forma</w:t>
      </w:r>
      <w:r>
        <w:rPr>
          <w:rFonts w:cs="Times New Roman" w:ascii="Times New Roman" w:hAnsi="Times New Roman"/>
          <w:b w:val="false"/>
          <w:bCs w:val="false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eletrônica,</w:t>
      </w:r>
      <w:r>
        <w:rPr>
          <w:rFonts w:cs="Times New Roman" w:ascii="Times New Roman" w:hAnsi="Times New Roman"/>
          <w:b w:val="false"/>
          <w:bCs w:val="false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para</w:t>
      </w:r>
      <w:r>
        <w:rPr>
          <w:rFonts w:cs="Times New Roman" w:ascii="Times New Roman" w:hAnsi="Times New Roman"/>
          <w:b w:val="false"/>
          <w:bCs w:val="false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REGISTRO</w:t>
      </w:r>
      <w:r>
        <w:rPr>
          <w:rFonts w:cs="Times New Roman" w:ascii="Times New Roman" w:hAnsi="Times New Roman"/>
          <w:b w:val="false"/>
          <w:bCs w:val="false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DE</w:t>
      </w:r>
      <w:r>
        <w:rPr>
          <w:rFonts w:cs="Times New Roman" w:ascii="Times New Roman" w:hAnsi="Times New Roman"/>
          <w:b w:val="false"/>
          <w:bCs w:val="false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PREÇOS, </w:t>
      </w:r>
      <w:r>
        <w:rPr>
          <w:rFonts w:cs="Times New Roman" w:ascii="Times New Roman" w:hAnsi="Times New Roman"/>
          <w:b w:val="false"/>
          <w:bCs w:val="false"/>
          <w:spacing w:val="-4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nº</w:t>
      </w:r>
      <w:r>
        <w:rPr>
          <w:rFonts w:cs="Times New Roman" w:ascii="Times New Roman" w:hAnsi="Times New Roman"/>
          <w:b w:val="false"/>
          <w:bCs w:val="false"/>
          <w:spacing w:val="2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900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01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/202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5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,</w:t>
      </w:r>
      <w:r>
        <w:rPr>
          <w:rFonts w:cs="Times New Roman" w:ascii="Times New Roman" w:hAnsi="Times New Roman"/>
          <w:b w:val="false"/>
          <w:bCs w:val="false"/>
          <w:spacing w:val="2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Processo</w:t>
      </w:r>
      <w:r>
        <w:rPr>
          <w:rFonts w:cs="Times New Roman" w:ascii="Times New Roman" w:hAnsi="Times New Roman"/>
          <w:b w:val="false"/>
          <w:bCs w:val="false"/>
          <w:spacing w:val="1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Administrativo</w:t>
      </w:r>
      <w:r>
        <w:rPr>
          <w:rFonts w:cs="Times New Roman" w:ascii="Times New Roman" w:hAnsi="Times New Roman"/>
          <w:b w:val="false"/>
          <w:bCs w:val="false"/>
          <w:spacing w:val="27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nº 64449.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lang w:val="pt-BR"/>
        </w:rPr>
        <w:t>00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lang w:val="pt-BR"/>
        </w:rPr>
        <w:t>0178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/202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lang w:val="pt-BR"/>
        </w:rPr>
        <w:t>5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-3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lang w:val="pt-BR"/>
        </w:rPr>
        <w:t>1</w:t>
      </w:r>
      <w:r>
        <w:rPr>
          <w:rFonts w:cs="Times New Roman" w:ascii="Times New Roman" w:hAnsi="Times New Roman"/>
          <w:b w:val="false"/>
          <w:bCs w:val="false"/>
          <w:spacing w:val="-4"/>
          <w:sz w:val="24"/>
          <w:szCs w:val="24"/>
        </w:rPr>
        <w:t>, RESOLVE</w:t>
      </w:r>
      <w:r>
        <w:rPr>
          <w:rFonts w:cs="Times New Roman" w:ascii="Times New Roman" w:hAnsi="Times New Roman"/>
          <w:b w:val="false"/>
          <w:bCs w:val="false"/>
          <w:spacing w:val="-47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registrar os preços da(s) empresa(s) indicadas(s) e qualificada(s) nesta ATA, de acordo com a classificação por ela(s) alcançada(s) e na(s)  quantidade(s)  cotada(s), atendendo as condições previstas no Edital de licitação, sujeitando-se as partes às normas constantes na Lei nº 14.133, de 1º de abril de 2021, no Decreto n.º 11.462, de 31 de março de 2023, e em conformidade com as disposições a seguir:</w:t>
      </w:r>
    </w:p>
    <w:p>
      <w:pPr>
        <w:pStyle w:val="Normal"/>
        <w:rPr>
          <w:rFonts w:ascii="Times New Roman" w:hAnsi="Times New Roman" w:cs="Times New Roman"/>
          <w:lang w:eastAsia="en-US"/>
        </w:rPr>
      </w:pPr>
      <w:r>
        <w:rPr>
          <w:rFonts w:cs="Times New Roman" w:ascii="Times New Roman" w:hAnsi="Times New Roman"/>
          <w:lang w:eastAsia="en-US"/>
        </w:rPr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 OBJETO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hanging="0" w:left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A presente Ata tem por objeto o registro de preços para a eventual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A"/>
          <w:sz w:val="24"/>
          <w:szCs w:val="24"/>
          <w:lang w:val="pt-BR" w:eastAsia="zh-CN" w:bidi="ar-SA"/>
        </w:rPr>
        <w:t>Aquisição de material para atender as necessidades do setor de Aprovisionamento (PASA)</w:t>
      </w:r>
      <w:r>
        <w:rPr>
          <w:rFonts w:cs="Times New Roman" w:ascii="Times New Roman" w:hAnsi="Times New Roman"/>
        </w:rPr>
        <w:t xml:space="preserve">  do Depósito Central de Munição (DCMUN), especificados nos itens do Termo de Referência, anexo I do edital de </w:t>
      </w:r>
      <w:r>
        <w:rPr>
          <w:rFonts w:cs="Times New Roman" w:ascii="Times New Roman" w:hAnsi="Times New Roman"/>
          <w:iCs/>
        </w:rPr>
        <w:t>Pregão nº 900</w:t>
      </w:r>
      <w:r>
        <w:rPr>
          <w:rFonts w:cs="Times New Roman" w:ascii="Times New Roman" w:hAnsi="Times New Roman"/>
          <w:iCs/>
        </w:rPr>
        <w:t>01</w:t>
      </w:r>
      <w:r>
        <w:rPr>
          <w:rFonts w:cs="Times New Roman" w:ascii="Times New Roman" w:hAnsi="Times New Roman"/>
          <w:iCs/>
        </w:rPr>
        <w:t>/202</w:t>
      </w:r>
      <w:r>
        <w:rPr>
          <w:rFonts w:cs="Times New Roman" w:ascii="Times New Roman" w:hAnsi="Times New Roman"/>
          <w:iCs/>
        </w:rPr>
        <w:t>5</w:t>
      </w:r>
      <w:r>
        <w:rPr>
          <w:rFonts w:cs="Times New Roman" w:ascii="Times New Roman" w:hAnsi="Times New Roman"/>
          <w:iCs/>
        </w:rPr>
        <w:t>,</w:t>
      </w:r>
      <w:r>
        <w:rPr>
          <w:rFonts w:cs="Times New Roman" w:ascii="Times New Roman" w:hAnsi="Times New Roman"/>
        </w:rPr>
        <w:t xml:space="preserve"> que é parte integrante desta Ata, assim como a proposta vencedora, independentemente de transcrição.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DOS PREÇOS, ESPECIFICAÇÕES E QUANTITATIVOS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O preço registrado, as especificações do objeto, as quantidades mínimas e máximas de cada item, fornecedor(es) e as demais condições ofertadas na(s) proposta(s) são as que seguem: </w:t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94"/>
        <w:gridCol w:w="1335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color w:val="FF0000"/>
              </w:rPr>
            </w:pPr>
            <w:r>
              <w:rPr>
                <w:rFonts w:cs="Times New Roman" w:ascii="Times New Roman" w:hAnsi="Times New Roman"/>
              </w:rPr>
              <w:t xml:space="preserve">Fornecedor </w:t>
            </w:r>
            <w:r>
              <w:rPr>
                <w:rFonts w:cs="Times New Roman" w:ascii="Times New Roman" w:hAnsi="Times New Roman"/>
                <w:i/>
                <w:color w:val="FF000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X</w:t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Marca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QuantidadeMáxima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360"/>
        <w:rPr>
          <w:rFonts w:ascii="Times New Roman" w:hAnsi="Times New Roman" w:cs="Times New Roman"/>
          <w:lang w:eastAsia="en-US"/>
        </w:rPr>
      </w:pPr>
      <w:r>
        <w:rPr>
          <w:rFonts w:cs="Times New Roman" w:ascii="Times New Roman" w:hAnsi="Times New Roman"/>
          <w:lang w:eastAsia="en-US"/>
        </w:rPr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cs="Times New Roman" w:ascii="Times New Roman" w:hAnsi="Times New Roman"/>
          <w:sz w:val="24"/>
          <w:szCs w:val="24"/>
          <w:lang w:eastAsia="en-US"/>
        </w:rPr>
        <w:t>A listagem do cadastro de reserva referente ao presente registro de preços consta como anexo a esta Ata.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ÓRGÃO GERENCIADOR E  PARTICIPANTE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órgão gerenciador será o DEPÓSITO CENTRAL DE MUNIÇÃO</w:t>
      </w:r>
    </w:p>
    <w:p>
      <w:pPr>
        <w:pStyle w:val="Nvel2-Red"/>
        <w:numPr>
          <w:ilvl w:val="1"/>
          <w:numId w:val="1"/>
        </w:numPr>
        <w:ind w:hanging="0" w:left="0"/>
        <w:rPr>
          <w:rFonts w:ascii="Times New Roman" w:hAnsi="Times New Roman" w:cs="Times New Roman"/>
          <w:i w:val="false"/>
          <w:i w:val="false"/>
          <w:iCs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i w:val="false"/>
          <w:iCs w:val="false"/>
          <w:color w:val="auto"/>
          <w:sz w:val="24"/>
          <w:szCs w:val="24"/>
        </w:rPr>
        <w:t xml:space="preserve">Não há Órgão Participante. 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DA ADESÃO À ATA DE REGISTRO DE PREÇOS </w:t>
      </w:r>
    </w:p>
    <w:p>
      <w:pPr>
        <w:pStyle w:val="Nvel2-Red"/>
        <w:numPr>
          <w:ilvl w:val="1"/>
          <w:numId w:val="1"/>
        </w:numPr>
        <w:ind w:hanging="0" w:left="0"/>
        <w:rPr>
          <w:rFonts w:ascii="Times New Roman" w:hAnsi="Times New Roman" w:cs="Times New Roman"/>
          <w:i w:val="false"/>
          <w:i w:val="false"/>
          <w:iCs w:val="false"/>
          <w:color w:val="auto"/>
          <w:sz w:val="24"/>
          <w:szCs w:val="24"/>
          <w:lang w:eastAsia="en-US"/>
        </w:rPr>
      </w:pPr>
      <w:r>
        <w:rPr>
          <w:rFonts w:cs="Times New Roman" w:ascii="Times New Roman" w:hAnsi="Times New Roman"/>
          <w:i w:val="false"/>
          <w:iCs w:val="false"/>
          <w:color w:val="auto"/>
          <w:sz w:val="24"/>
          <w:szCs w:val="24"/>
          <w:lang w:eastAsia="en-US"/>
        </w:rPr>
        <w:t xml:space="preserve"> </w:t>
      </w:r>
      <w:r>
        <w:rPr>
          <w:rFonts w:cs="Times New Roman" w:ascii="Times New Roman" w:hAnsi="Times New Roman"/>
          <w:i w:val="false"/>
          <w:iCs w:val="false"/>
          <w:color w:val="auto"/>
          <w:sz w:val="24"/>
          <w:szCs w:val="24"/>
          <w:lang w:eastAsia="en-US"/>
        </w:rPr>
        <w:t>Não será admitida a adesão à ata de registro de preços decorrente desta licitação ou desta contratação direta, conforme justificativa apresentada nos estudos técnicos preliminares.</w:t>
      </w:r>
    </w:p>
    <w:p>
      <w:pPr>
        <w:pStyle w:val="SubTitNN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Vedação a acréscimo de quantitativos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É vedado efetuar acréscimos nos quantitativos fixados na ata de registro de preços.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VALIDADE, FORMALIZAÇÃO DA ATA DE REGISTRO DE PREÇOS E CADASTRO RESERVA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validade da Ata de Registro de Preços será de 1 (um) ano, contado a partir do primeiro dia útil subsequente à data de divulgação no PNCP.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contratação com os fornecedores registrados na ata será formalizada pelo órgão ou pela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interessada por intermédio de instrumento contratual, emissão de nota de empenho de despesa, autorização de compra ou outro instrumento hábil, conforme o art. 95 da Lei nº 14.133, de 2021.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 instrumento contratual de que trata o item 5.2. deverá ser assinado no prazo de validade da ata de registro de preços.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Os contratos decorrentes do sistema de registro de preços poderão ser alterados, observado o art. 124 da Lei nº 14.133, de 2021.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Após a homologação da licitação ou da contratação direta, deverão ser observadas as seguintes condições para formalização da ata de registro de preços: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Serão registrados na ata os preços e os quantita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vos do adjudicatário, devendo ser observada a possibilidade de o licitante oferecer ou não proposta em quantitativo inferior ao máximo previsto no edital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 se obrigar nos limites dela;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Será incluído na ata, na forma de anexo, o registro dos licitantes ou dos fornecedores que:</w:t>
      </w:r>
    </w:p>
    <w:p>
      <w:pPr>
        <w:pStyle w:val="Nvel4"/>
        <w:numPr>
          <w:ilvl w:val="3"/>
          <w:numId w:val="1"/>
        </w:numPr>
        <w:ind w:hanging="0" w:left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Aceitarem cotar os bens, as obras ou os serviços com preços iguais aos do adjudicatário, observada a classificação da licitação; e </w:t>
      </w:r>
    </w:p>
    <w:p>
      <w:pPr>
        <w:pStyle w:val="Nvel4"/>
        <w:numPr>
          <w:ilvl w:val="3"/>
          <w:numId w:val="1"/>
        </w:numPr>
        <w:ind w:hanging="0" w:left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Mantiverem sua proposta original. </w:t>
      </w:r>
      <w:bookmarkStart w:id="0" w:name="cadastro_reserva"/>
      <w:bookmarkEnd w:id="0"/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Será respeitada, nas contratações, a ordem de classificação dos licitantes ou dos fornecedores registrados na ata.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registro a que se refere o item 5.4.2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 por obje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vo a formação de cadastro de reserva para o caso de impossibilidade de atendimento pelo signatário da ata.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Para fins da ordem de classificação, os licitantes ou fornecedores que aceitarem reduzir suas propostas para o preço do adjudicatário antecederão aqueles que mantiverem sua proposta original.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A habilitação dos licitantes que comporão o cadastro de reserva a que se refere 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cadastro_reserva \r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5.4.2.2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 xml:space="preserve"> somente será efetuada quando houver necessidade de contratação dos licitantes remanescentes, nas seguintes hipóteses: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Quando o licitante vencedor não assinar a ata de registro de preços, no prazo e nas condições estabelecidos no edital; e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Quando houver o cancelamento do registro do licitante ou do registro de preços nas hipóteses previstas no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cancelamento \r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9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preço registrado com indicação dos licitantes e fornecedores será divulgado no PNCP e ficará disponibilizado durante a vigência da ata de registro de preços.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ata de registro de preços será assinada por meio de assinatura digital e disponibilizada no Sistema de Registro de Preços.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Quando o convocado não assinar a ata de registro de preços no prazo e nas condições estabelecidos no edital ou no aviso de contratação, observando o item 5.7 e subitens, fica facultado à Administração convocar os licitantes remanescentes do cadastro de reserva, na ordem de classificação, para fazê-lo em igual prazo e nas condições propostas pelo primeiro classificado.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nenhum dos licitantes que trata o item 5.4.2.1, aceitar a contratação nos termos do item anterior, a Administração, observados o valor es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mado e sua eventual atualização nos termos do edital, poderá: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Adjudicar e firmar o contrato nas condições ofertadas pelos licitantes ou fornecedores remanescentes, atendida a ordem classificatória, quando frustrada a negociação de melhor condição.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ALTERAÇÃO OU ATUALIZAÇÃO DOS PREÇOS REGISTRADOS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Os preços registrados poderão ser alterados ou atualizados em decorrência de eventual redução dos preços pra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cados no mercado ou de fato que eleve o custo dos bens, das obras ou dos serviços registrados, nas seguintes situações: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Em caso de força maior, caso fortuito ou fato do príncipe ou em decorrência de fatos imprevisíveis ou previsíveis de consequências incalculáveis, que inviabilizem a execução da ata tal como pactuada, nos termos da </w:t>
      </w:r>
      <w:r>
        <w:rPr>
          <w:rFonts w:cs="Times New Roman" w:ascii="Times New Roman" w:hAnsi="Times New Roman"/>
          <w:color w:val="0000EF"/>
          <w:sz w:val="24"/>
          <w:szCs w:val="24"/>
        </w:rPr>
        <w:t>alínea “d” do inciso II do caput do art. 124 da Lei nº 14.133, de 2021;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Em caso de criação, alteração ou ex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 xml:space="preserve">nção de quaisquer tributos ou encargos legais ou a superveniência de disposições legais, com comprovada repercussão sobre os preços registrados; 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previsão no edital ou no aviso de contratação direta de cláusula de reajustamento ou repactuação sobre os preços registrados, nos termos da Lei nº 14.133, de 2021.</w:t>
      </w:r>
    </w:p>
    <w:p>
      <w:pPr>
        <w:pStyle w:val="Nvel4"/>
        <w:numPr>
          <w:ilvl w:val="3"/>
          <w:numId w:val="1"/>
        </w:numPr>
        <w:ind w:hanging="0" w:left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No caso do reajustamento, deverá ser respeitada a contagem da anualidade e o índice previstos para a contratação;  </w:t>
      </w:r>
    </w:p>
    <w:p>
      <w:pPr>
        <w:pStyle w:val="Nvel4"/>
        <w:numPr>
          <w:ilvl w:val="3"/>
          <w:numId w:val="1"/>
        </w:numPr>
        <w:ind w:hanging="0" w:left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No caso da repactuação, poderá ser a pedido do interessado, conforme critérios definidos para a contratação.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NEGOCIAÇÃO DE PREÇOS REGISTRADOS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o preço registrado tornar-se superior ao preço pra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cado no mercado por mo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vo superveniente, o órgão ou en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 convocará o fornecedor para negociar a redução do preço registrado.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Caso não aceite reduzir seu preço aos valores pra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cados pelo mercado, o fornecedor será liberado do compromisso assumido quanto ao item registrado, sem aplicação de penalidades administrativas.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Na hipótese prevista no item anterior, o gerenciador convocará os fornecedores do cadastro de reserva, na ordem de classificação, para verificar se aceitam reduzir seus preços aos valores de mercado e não convocará os licitantes ou fornecedores que tiveram seu registro cancelado. 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 não obtiver êxito nas negociações, o órgão ou en</w:t>
      </w:r>
      <w:r>
        <w:rPr>
          <w:rFonts w:eastAsia="Calibri" w:cs="Times New Roman" w:ascii="Times New Roman" w:hAnsi="Times New Roman"/>
          <w:sz w:val="24"/>
          <w:szCs w:val="24"/>
        </w:rPr>
        <w:t>tid</w:t>
      </w:r>
      <w:r>
        <w:rPr>
          <w:rFonts w:cs="Times New Roman" w:ascii="Times New Roman" w:hAnsi="Times New Roman"/>
          <w:sz w:val="24"/>
          <w:szCs w:val="24"/>
        </w:rPr>
        <w:t>ade gerenciadora procederá ao cancelamento da ata de registro de preços, adotando as medidas cabíveis para obtenção de contratação mais vantajosa.</w:t>
      </w:r>
      <w:bookmarkStart w:id="1" w:name="reducao_preco_mercado_negociacao_frustra"/>
      <w:bookmarkEnd w:id="1"/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redução do preço registrado, o gerenciador comunicará aos órgãos e às en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 xml:space="preserve">dades que 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2" w:name="hipotese_preco_mercado_maior"/>
      <w:bookmarkEnd w:id="2"/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3" w:name="prova_preco_mercado_maior"/>
      <w:bookmarkEnd w:id="3"/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Não hipótese de não comprovação da existência de fato superveniente que inviabilize o preço registrado, o pedido será indeferido pelo órgão ou en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 xml:space="preserve">dade gerenciadora e o fornecedor deverá cumprir as obrigações estabelecidas na ata, sob pena de cancelamento do seu registro, nos termos do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cancelamento_do_fornecedor \r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9.1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>, sem prejuízo das sanções previstas na Lei nº 14.133, de 2021, e na legislação aplicável.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Se não obtiver êxito nas negociações, o órgão ou entidade gerenciadora procederá ao cancelamento da ata de registro de preços, nos termos do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cancelamento_da_ata \r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9.4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>, e adotará as medidas cabíveis para a obtenção da contratação mais vantajosa.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Na hipótese de comprovação da majoração do preço de mercado que inviabilize o preço registrado, conforme previsto no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hipotese_preco_mercado_maior \r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7.2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 xml:space="preserve"> e no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prova_preco_mercado_maior \r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7.2.1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>, o órgão ou en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 atualizará o preço registrado, de acordo com a realidade dos valores praticados pelo mercado.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 órgão ou en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 comunicará aos órgãos e às en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 xml:space="preserve">dades que 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verem firmado contratos decorrentes da ata de registro de preços sobre a efe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va alteração do preço registrado, para que avaliem a necessidade de alteração contratual, observado o disposto no art. 124 da Lei nº 14.133, de 2021.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REMANEJAMENTO DAS QUANTIDADES REGISTRADAS NA ATA DE REGISTRO DE PREÇOS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As quan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dades previstas para os itens com preços registrados nas atas de registro de preços poderão ser remanejadas pelo órgão ou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 entre os órgãos ou as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dades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cipantes e não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cipantes do registro de preços.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 remanejamento somente poderá ser feito: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 órgão ou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 para órgão ou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cipante; ou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 órgão ou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 para órgão ou entidade não participante.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órgão ou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 que tiver es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mado as quan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dades que pretende contratar será considerado participante para efeito do remanejamento.</w:t>
      </w:r>
      <w:bookmarkStart w:id="4" w:name="gerenciador_estimador_é_partic_em_remane"/>
      <w:bookmarkEnd w:id="4"/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remanejamento de órgão ou entidade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 para órgão ou entidade não participante, serão observados os limites previstos no art. 32 do Decreto nº 11.462, de 2023.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Competirá ao órgão ou à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 autorizar o remanejamento solicitado, com a redução do quan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ta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vo inicialmente informado pelo órgão ou pela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cipante, desde que haja prévia anuência do órgão ou da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que sofrer redução dos quantitativos informados.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Caso o remanejamento seja feito entre órgãos ou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dades dos Estados, do Distrito Federal ou de Municípios dis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ntos, caberá ao fornecedor beneficiário da ata de registro de preços, observadas as condições nela estabelecidas, optar pela aceitação ou não do fornecimento decorrente do remanejamento dos itens.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da compra centralizada, não havendo indicação pelo órgão ou pela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gerenciadora, dos quan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ta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vos dos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 xml:space="preserve">cipantes da compra centralizada, nos termos do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gerenciador_estimador_é_partic_em_remane \r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8.3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>, a distribuição das quantidades para a execução descentralizada será por meio do remanejamento.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CANCELAMENTO DO REGISTRO DO LICITANTE VENCEDOR E DOS PREÇOS REGISTRADOS</w:t>
      </w:r>
      <w:bookmarkStart w:id="5" w:name="cancelamento"/>
      <w:bookmarkEnd w:id="5"/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registro do fornecedor será cancelado pelo gerenciador, quando o fornecedor:</w:t>
      </w:r>
      <w:bookmarkStart w:id="6" w:name="cancelamento_do_fornecedor"/>
      <w:bookmarkEnd w:id="6"/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Descumprir as condições da ata de registro de preços, sem motivo justificado;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Não re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rar a nota de empenho, ou instrumento equivalente, no prazo estabelecido pela Administração sem justificativa razoável;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Não aceitar manter seu preço registrado, na hipótese prevista no artigo 27, § 2º, do Decreto nº 11.462, de 2023; ou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Sofrer sanção prevista nos incisos III ou IV do caput do art. 156 da Lei nº 14.133, de 2021.</w:t>
      </w:r>
    </w:p>
    <w:p>
      <w:pPr>
        <w:pStyle w:val="Nvel4"/>
        <w:numPr>
          <w:ilvl w:val="3"/>
          <w:numId w:val="1"/>
        </w:numPr>
        <w:ind w:hanging="0" w:left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O cancelamento de registros nas hipóteses previstas no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cancelamento_do_fornecedor \r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9.1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 xml:space="preserve"> será formalizado por despacho do órgão ou da entidade gerenciadora, garantidos os princípios do contraditório e da ampla defesa.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cancelamento do registro do fornecedor, o órgão ou a entidade gerenciadora poderá convocar os licitantes que compõem o cadastro de reserva, observada a ordem de classificação.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7" w:name="cancelamento_da_ata"/>
      <w:bookmarkEnd w:id="7"/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Por razão de interesse público;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pedido do fornecedor, decorrente de caso fortuito ou força maior; ou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Se não houver êxito nas negociações, nas hipóteses em que o preço de mercado tornar-se superior ou inferior ao preço registrado, nos termos do artigos 26, § 3º e  27, § 4º, ambos do Decreto nº 11.462, de 2023. 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DAS PENALIDADES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O descumprimento da Ata de Registro de Preços ensejará aplicação das penalidades estabelecidas </w:t>
      </w:r>
      <w:r>
        <w:rPr>
          <w:rFonts w:cs="Times New Roman" w:ascii="Times New Roman" w:hAnsi="Times New Roman"/>
          <w:iCs/>
          <w:sz w:val="24"/>
          <w:szCs w:val="24"/>
        </w:rPr>
        <w:t>no edital.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As sanções também se aplicam aos integrantes do cadastro de reserva no registro de preços que, convocados, não honrarem o compromisso assumido injustificadamente após terem assinado a ata. 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É da competência do gerenciador a aplicação das penalidades decorrentes do descumprimento do pactuado nesta ata de registro de preço (art. 7º, inc. XIV, do Decreto nº 11.462, de 2023), exceto nas hipóteses em que o descumprimento disser respeito às contratações dos órgãos ou entidade participante, caso no qual caberá ao respectivo órgão participante a aplicação da penalidade (art. 8º, inc. IX, do Decreto nº 11.462, de 2023).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órgão ou entidade participante deverá comunicar ao órgão gerenciador qualquer das ocorrências previstas no item 9.1, dada a necessidade de instauração de procedimento para cancelamento do registro do fornecedor.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CONDIÇÕES GERAIS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As condições gerais de execução do objeto, tais como os prazos para entrega e recebimento, as obrigações da Administração e do fornecedor registrado, penalidades e demais condições do ajuste, encontram-se definidos no Termo de Referência, ANEXO </w:t>
      </w:r>
      <w:r>
        <w:rPr>
          <w:rFonts w:cs="Times New Roman" w:ascii="Times New Roman" w:hAnsi="Times New Roman"/>
          <w:iCs/>
          <w:sz w:val="24"/>
          <w:szCs w:val="24"/>
        </w:rPr>
        <w:t>AO EDITAL.</w:t>
      </w:r>
    </w:p>
    <w:p>
      <w:pPr>
        <w:pStyle w:val="Nvel2-Red"/>
        <w:numPr>
          <w:ilvl w:val="1"/>
          <w:numId w:val="1"/>
        </w:numPr>
        <w:ind w:hanging="0" w:left="0"/>
        <w:rPr>
          <w:rFonts w:ascii="Times New Roman" w:hAnsi="Times New Roman" w:cs="Times New Roman"/>
          <w:i w:val="false"/>
          <w:i w:val="false"/>
          <w:iCs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i w:val="false"/>
          <w:iCs w:val="false"/>
          <w:color w:val="auto"/>
          <w:sz w:val="24"/>
          <w:szCs w:val="24"/>
        </w:rPr>
        <w:t>No caso de adjudicação por preço global de grupo de itens, só será admitida a contratação de parte de itens do grupo se houver prévia pesquisa de mercado e demonstração de sua vantagem para o órgão ou a entidade.</w:t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Times New Roman" w:hAnsi="Times New Roman" w:cs="Times New Roman"/>
          <w:i/>
          <w:i/>
          <w:iCs/>
          <w:color w:val="FF0000"/>
        </w:rPr>
      </w:pPr>
      <w:r>
        <w:rPr>
          <w:rFonts w:cs="Times New Roman" w:ascii="Times New Roman" w:hAnsi="Times New Roman"/>
        </w:rPr>
        <w:t>Para firmeza e validade do pactuado, a presente Ata foi lavrada em 2 (duas) vias de igual teor, que, depois de lida e achada em ordem, vai assinada pelas partes e encaminhada cópia aos demais órgãos participantes.</w:t>
      </w:r>
      <w:r>
        <w:rPr>
          <w:rFonts w:cs="Times New Roman" w:ascii="Times New Roman" w:hAnsi="Times New Roman"/>
          <w:i/>
          <w:iCs/>
        </w:rPr>
        <w:t xml:space="preserve"> 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Local e data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Assinaturas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</w:rPr>
        <w:t xml:space="preserve">Representante legal do órgão gerenciador e representante(s) legal(is) do(s) </w:t>
      </w:r>
      <w:r>
        <w:rPr>
          <w:rFonts w:cs="Times New Roman" w:ascii="Times New Roman" w:hAnsi="Times New Roman"/>
          <w:color w:val="000000"/>
        </w:rPr>
        <w:t>fornecedor(s) registrado(s)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Anexo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Cadastro Reserva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Seguindo a ordem de classificação, segue relação de fornecedores que aceitaram cotar os itens com preços iguais ao adjudicatário: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94"/>
        <w:gridCol w:w="1335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 xml:space="preserve">Fornecedor </w:t>
            </w:r>
            <w:r>
              <w:rPr>
                <w:rFonts w:cs="Times New Roman" w:ascii="Times New Roman" w:hAnsi="Times New Roman"/>
                <w:i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X</w:t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Marca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QuantidadeMáxima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Seguindo a ordem de classificação, segue relação de fornecedores que mantiveram sua proposta original: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695"/>
        <w:gridCol w:w="1134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 xml:space="preserve">Fornecedor </w:t>
            </w:r>
            <w:r>
              <w:rPr>
                <w:rFonts w:cs="Times New Roman" w:ascii="Times New Roman" w:hAnsi="Times New Roman"/>
                <w:i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74" w:hRule="atLeast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X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Marca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QuantidadeMáxima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sectPr>
      <w:footerReference w:type="even" r:id="rId4"/>
      <w:footerReference w:type="default" r:id="rId5"/>
      <w:footerReference w:type="first" r:id="rId6"/>
      <w:type w:val="nextPage"/>
      <w:pgSz w:orient="landscape" w:w="11906" w:h="16838"/>
      <w:pgMar w:left="1701" w:right="1134" w:gutter="0" w:header="0" w:top="709" w:footer="708" w:bottom="1418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Ecofont_Spranq_eco_Sans">
    <w:charset w:val="00"/>
    <w:family w:val="auto"/>
    <w:pitch w:val="variable"/>
  </w:font>
  <w:font w:name="Cambria">
    <w:charset w:val="00"/>
    <w:family w:val="auto"/>
    <w:pitch w:val="variable"/>
  </w:font>
  <w:font w:name="Segoe UI">
    <w:charset w:val="00"/>
    <w:family w:val="auto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Câmara Nacional de Modelos de Licitações e Contratos da Consultoria-Geral da União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Atualização: maio/2023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Ata de Registro de Preços –  Lei nº 14.133, de 2021.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Aprovado pela Secretaria de Gestão e Inovação.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Identidade visual pela Secretaria de Gestão e Inovação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Câmara Nacional de Modelos de Licitações e Contratos da Consultoria-Geral da União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Atualização: maio/2023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Ata de Registro de Preços –  Lei nº 14.133, de 2021.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Aprovado pela Secretaria de Gestão e Inovação.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Identidade visual pela Secretaria de Gestão e Inovação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isLgl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1283" w:hanging="432"/>
      </w:pPr>
      <w:rPr>
        <w:sz w:val="20"/>
        <w:szCs w:val="20"/>
      </w:rPr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497" w:hanging="504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mirrorMargins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Lucida Sans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NSimSun" w:cs="Tahoma"/>
      <w:color w:val="auto"/>
      <w:kern w:val="0"/>
      <w:sz w:val="24"/>
      <w:szCs w:val="24"/>
      <w:lang w:val="pt-BR" w:eastAsia="pt-BR" w:bidi="ar-SA"/>
    </w:rPr>
  </w:style>
  <w:style w:type="paragraph" w:styleId="Heading1">
    <w:name w:val="heading 1"/>
    <w:basedOn w:val="Normal"/>
    <w:qFormat/>
    <w:pPr>
      <w:keepNext w:val="true"/>
      <w:keepLines/>
      <w:spacing w:before="480" w:after="0"/>
      <w:outlineLvl w:val="0"/>
    </w:pPr>
    <w:rPr>
      <w:rFonts w:ascii="Cambria" w:hAnsi="Cambria" w:eastAsia="Arial" w:cs="Arial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uiPriority w:val="99"/>
    <w:unhideWhenUsed/>
    <w:qFormat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EndnoteCharacters11">
    <w:name w:val="Endnote Characters11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-nfase1Char" w:customStyle="1">
    <w:name w:val="Grade Colorida - Ênfase 1 Char"/>
    <w:qFormat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uiPriority w:val="99"/>
    <w:qFormat/>
    <w:rPr>
      <w:sz w:val="24"/>
      <w:szCs w:val="24"/>
    </w:rPr>
  </w:style>
  <w:style w:type="character" w:styleId="InternetLink">
    <w:name w:val="Internet Link"/>
    <w:uiPriority w:val="99"/>
    <w:unhideWhenUsed/>
    <w:qFormat/>
    <w:rPr>
      <w:color w:val="0000FF"/>
      <w:u w:val="single"/>
    </w:rPr>
  </w:style>
  <w:style w:type="character" w:styleId="CabealhoChar" w:customStyle="1">
    <w:name w:val="Cabeçalho Char"/>
    <w:basedOn w:val="DefaultParagraphFont"/>
    <w:qFormat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qFormat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uiPriority w:val="29"/>
    <w:qFormat/>
    <w:rPr>
      <w:rFonts w:ascii="Ecofont_Spranq_eco_Sans" w:hAnsi="Ecofont_Spranq_eco_Sans" w:cs="Tahoma"/>
      <w:i/>
      <w:iCs/>
      <w:color w:themeColor="text1" w:val="000000"/>
      <w:sz w:val="24"/>
      <w:szCs w:val="24"/>
    </w:rPr>
  </w:style>
  <w:style w:type="character" w:styleId="Ttulo1Char" w:customStyle="1">
    <w:name w:val="Título 1 Char"/>
    <w:basedOn w:val="DefaultParagraphFont"/>
    <w:qFormat/>
    <w:rPr>
      <w:rFonts w:ascii="Cambria" w:hAnsi="Cambria" w:eastAsia="Arial" w:cs="Arial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Nivel1Char" w:customStyle="1">
    <w:name w:val="Nivel1 Char"/>
    <w:basedOn w:val="Ttulo1Char"/>
    <w:qFormat/>
    <w:rPr>
      <w:rFonts w:ascii="Arial" w:hAnsi="Arial" w:eastAsia="Arial" w:cs="Arial" w:eastAsiaTheme="majorEastAsia"/>
      <w:b/>
      <w:bCs/>
      <w:color w:themeColor="accent1" w:themeShade="bf" w:val="365F91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styleId="TextodecomentrioChar" w:customStyle="1">
    <w:name w:val="Texto de comentário Char"/>
    <w:basedOn w:val="DefaultParagraphFont"/>
    <w:qFormat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semiHidden/>
    <w:qFormat/>
    <w:rPr>
      <w:rFonts w:ascii="Ecofont_Spranq_eco_Sans" w:hAnsi="Ecofont_Spranq_eco_Sans" w:cs="Tahoma"/>
      <w:b/>
      <w:bCs/>
    </w:rPr>
  </w:style>
  <w:style w:type="character" w:styleId="TextodebaloChar" w:customStyle="1">
    <w:name w:val="Texto de balão Char"/>
    <w:basedOn w:val="DefaultParagraphFont"/>
    <w:semiHidden/>
    <w:qFormat/>
    <w:rPr>
      <w:rFonts w:ascii="Segoe UI" w:hAnsi="Segoe UI" w:cs="Segoe UI"/>
      <w:sz w:val="18"/>
      <w:szCs w:val="18"/>
    </w:rPr>
  </w:style>
  <w:style w:type="character" w:styleId="Nivel01Char" w:customStyle="1">
    <w:name w:val="Nivel 01 Char"/>
    <w:basedOn w:val="DefaultParagraphFont"/>
    <w:qFormat/>
    <w:rPr>
      <w:rFonts w:ascii="Arial" w:hAnsi="Arial" w:eastAsia="Arial" w:cs="Arial" w:eastAsiaTheme="majorEastAsia"/>
      <w:b/>
      <w:bCs/>
      <w:lang w:eastAsia="en-US"/>
    </w:rPr>
  </w:style>
  <w:style w:type="character" w:styleId="Nivel2Char" w:customStyle="1">
    <w:name w:val="Nivel 2 Char"/>
    <w:basedOn w:val="DefaultParagraphFont"/>
    <w:qFormat/>
    <w:rPr>
      <w:rFonts w:ascii="Arial" w:hAnsi="Arial" w:cs="Arial"/>
    </w:rPr>
  </w:style>
  <w:style w:type="character" w:styleId="Nvel2-RedChar" w:customStyle="1">
    <w:name w:val="Nível 2 -Red Char"/>
    <w:basedOn w:val="Nivel2Char"/>
    <w:qFormat/>
    <w:rPr>
      <w:rFonts w:ascii="Arial" w:hAnsi="Arial" w:cs="Arial"/>
      <w:i/>
      <w:iCs/>
      <w:color w:val="FF0000"/>
    </w:rPr>
  </w:style>
  <w:style w:type="character" w:styleId="ouChar" w:customStyle="1">
    <w:name w:val="ou Char"/>
    <w:basedOn w:val="DefaultParagraphFont"/>
    <w:qFormat/>
    <w:rPr>
      <w:rFonts w:ascii="Arial" w:hAnsi="Arial" w:eastAsia="Calibri" w:cs="Arial" w:eastAsiaTheme="minorHAnsi"/>
      <w:b/>
      <w:bCs/>
      <w:i/>
      <w:iCs/>
      <w:color w:val="FF0000"/>
      <w:szCs w:val="24"/>
      <w:u w:val="single"/>
    </w:rPr>
  </w:style>
  <w:style w:type="character" w:styleId="Nvel3-RChar" w:customStyle="1">
    <w:name w:val="Nível 3-R Char"/>
    <w:basedOn w:val="DefaultParagraphFont"/>
    <w:qFormat/>
    <w:rPr>
      <w:rFonts w:ascii="Arial" w:hAnsi="Arial" w:eastAsia="Arial" w:cs="Arial" w:eastAsiaTheme="minorEastAsia"/>
      <w:i/>
      <w:iCs/>
      <w:color w:val="FF0000"/>
    </w:rPr>
  </w:style>
  <w:style w:type="character" w:styleId="Nvel3Char" w:customStyle="1">
    <w:name w:val="Nível 3 Char"/>
    <w:basedOn w:val="Nvel3-RChar"/>
    <w:qFormat/>
    <w:rPr>
      <w:rFonts w:ascii="Arial" w:hAnsi="Arial" w:eastAsia="Arial" w:cs="Arial" w:eastAsiaTheme="minorEastAsia"/>
      <w:i w:val="false"/>
      <w:iCs w:val="false"/>
      <w:color w:val="FF0000"/>
    </w:rPr>
  </w:style>
  <w:style w:type="character" w:styleId="Nvel4Char" w:customStyle="1">
    <w:name w:val="Nível 4 Char"/>
    <w:basedOn w:val="Nvel3Char"/>
    <w:qFormat/>
    <w:rPr>
      <w:rFonts w:ascii="Arial" w:hAnsi="Arial" w:eastAsia="Arial" w:cs="Arial" w:eastAsiaTheme="minorEastAsia"/>
      <w:i w:val="false"/>
      <w:iCs w:val="false"/>
      <w:color w:val="FF0000"/>
    </w:rPr>
  </w:style>
  <w:style w:type="character" w:styleId="SubTitNNChar" w:customStyle="1">
    <w:name w:val="SubTitNN Char"/>
    <w:basedOn w:val="DefaultParagraphFont"/>
    <w:qFormat/>
    <w:rPr>
      <w:rFonts w:ascii="Arial" w:hAnsi="Arial" w:cs="Arial"/>
      <w:b/>
      <w:bCs/>
      <w:i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uiPriority w:val="99"/>
    <w:unhideWhenUsed/>
    <w:pPr>
      <w:spacing w:beforeAutospacing="1" w:afterAutospacing="1"/>
    </w:pPr>
    <w:rPr>
      <w:rFonts w:ascii="Times New Roman" w:hAnsi="Times New Roman" w:cs="Times New Roman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NSimSun" w:cs="Lucida Sans"/>
      <w:color w:val="auto"/>
      <w:kern w:val="0"/>
      <w:sz w:val="20"/>
      <w:szCs w:val="20"/>
      <w:lang w:val="pt-BR" w:eastAsia="pt-BR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/>
    </w:pPr>
    <w:rPr>
      <w:i/>
    </w:rPr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Ttulo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Lucida Sans"/>
      <w:color w:val="auto"/>
      <w:kern w:val="0"/>
      <w:sz w:val="20"/>
      <w:szCs w:val="20"/>
      <w:lang w:val="pt-BR" w:eastAsia="pt-BR" w:bidi="ar-SA"/>
    </w:rPr>
  </w:style>
  <w:style w:type="paragraph" w:styleId="TableofFigures">
    <w:name w:val="table of figures"/>
    <w:basedOn w:val="Normal"/>
    <w:uiPriority w:val="99"/>
    <w:unhideWhenUsed/>
    <w:pPr>
      <w:spacing w:before="0" w:afterAutospacing="0" w:after="0"/>
    </w:pPr>
    <w:rPr/>
  </w:style>
  <w:style w:type="paragraph" w:styleId="GradeColorida-nfase11" w:customStyle="1">
    <w:name w:val="Grade Colorida - Ênfase 1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unhideWhenUsed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qFormat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true"/>
      <w:bidi w:val="0"/>
      <w:spacing w:before="120" w:after="0"/>
      <w:jc w:val="both"/>
    </w:pPr>
    <w:rPr>
      <w:rFonts w:ascii="Times New Roman" w:hAnsi="Times New Roman" w:eastAsia="Calibri" w:cs="Lucida Sans"/>
      <w:color w:val="000000"/>
      <w:kern w:val="0"/>
      <w:sz w:val="20"/>
      <w:szCs w:val="20"/>
      <w:lang w:val="pt-BR" w:eastAsia="en-US" w:bidi="ar-SA"/>
    </w:rPr>
  </w:style>
  <w:style w:type="paragraph" w:styleId="Quote">
    <w:name w:val="Quote"/>
    <w:basedOn w:val="Normal"/>
    <w:uiPriority w:val="29"/>
    <w:qFormat/>
    <w:pPr/>
    <w:rPr>
      <w:i/>
      <w:iCs/>
      <w:color w:themeColor="text1" w:val="000000"/>
    </w:rPr>
  </w:style>
  <w:style w:type="paragraph" w:styleId="Nivel1" w:customStyle="1">
    <w:name w:val="Nivel1"/>
    <w:basedOn w:val="Heading1"/>
    <w:qFormat/>
    <w:pPr>
      <w:widowControl w:val="false"/>
      <w:spacing w:lineRule="auto" w:line="276" w:before="480" w:after="120"/>
      <w:ind w:hanging="360" w:left="360"/>
      <w:jc w:val="both"/>
    </w:pPr>
    <w:rPr>
      <w:rFonts w:ascii="Arial" w:hAnsi="Arial" w:cs="Arial"/>
      <w:color w:themeColor="accent1" w:themeShade="bf" w:val="auto"/>
      <w:sz w:val="20"/>
      <w:szCs w:val="20"/>
    </w:rPr>
  </w:style>
  <w:style w:type="paragraph" w:styleId="Nivel01" w:customStyle="1">
    <w:name w:val="Nivel 01"/>
    <w:basedOn w:val="Heading1"/>
    <w:qFormat/>
    <w:pPr>
      <w:numPr>
        <w:ilvl w:val="0"/>
        <w:numId w:val="1"/>
      </w:numPr>
      <w:tabs>
        <w:tab w:val="clear" w:pos="708"/>
        <w:tab w:val="left" w:pos="567" w:leader="none"/>
      </w:tabs>
      <w:spacing w:lineRule="auto" w:line="276" w:before="120" w:after="120"/>
      <w:ind w:hanging="0" w:left="0"/>
      <w:jc w:val="both"/>
    </w:pPr>
    <w:rPr>
      <w:rFonts w:ascii="Arial" w:hAnsi="Arial" w:cs="Arial"/>
      <w:color w:themeColor="accent1" w:themeShade="bf" w:val="auto"/>
      <w:sz w:val="20"/>
      <w:szCs w:val="20"/>
      <w:lang w:eastAsia="en-US"/>
    </w:rPr>
  </w:style>
  <w:style w:type="paragraph" w:styleId="CommentText">
    <w:name w:val="annotation text"/>
    <w:basedOn w:val="Normal"/>
    <w:unhideWhenUsed/>
    <w:pPr/>
    <w:rPr>
      <w:sz w:val="20"/>
      <w:szCs w:val="20"/>
    </w:rPr>
  </w:style>
  <w:style w:type="paragraph" w:styleId="annotationsubject">
    <w:name w:val="annotation subject"/>
    <w:basedOn w:val="CommentText"/>
    <w:semiHidden/>
    <w:unhideWhenUsed/>
    <w:qFormat/>
    <w:pPr/>
    <w:rPr>
      <w:b/>
      <w:bCs/>
    </w:rPr>
  </w:style>
  <w:style w:type="paragraph" w:styleId="BalloonText">
    <w:name w:val="Balloon Text"/>
    <w:basedOn w:val="Normal"/>
    <w:semiHidden/>
    <w:unhideWhenUsed/>
    <w:qFormat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NSimSun" w:cs="Tahoma"/>
      <w:color w:val="auto"/>
      <w:kern w:val="0"/>
      <w:sz w:val="24"/>
      <w:szCs w:val="24"/>
      <w:lang w:val="pt-BR" w:eastAsia="pt-BR" w:bidi="ar-SA"/>
    </w:rPr>
  </w:style>
  <w:style w:type="paragraph" w:styleId="Nivel2" w:customStyle="1">
    <w:name w:val="Nivel 2"/>
    <w:basedOn w:val="Normal"/>
    <w:qFormat/>
    <w:pPr>
      <w:numPr>
        <w:ilvl w:val="1"/>
        <w:numId w:val="1"/>
      </w:numPr>
      <w:spacing w:lineRule="auto" w:line="276" w:before="120" w:after="120"/>
      <w:ind w:hanging="0" w:left="0"/>
      <w:jc w:val="both"/>
    </w:pPr>
    <w:rPr>
      <w:rFonts w:ascii="Arial" w:hAnsi="Arial" w:cs="Arial"/>
      <w:sz w:val="20"/>
      <w:szCs w:val="20"/>
    </w:rPr>
  </w:style>
  <w:style w:type="paragraph" w:styleId="Nvel2-Red" w:customStyle="1">
    <w:name w:val="Nível 2 -Red"/>
    <w:basedOn w:val="Nivel2"/>
    <w:qFormat/>
    <w:pPr/>
    <w:rPr>
      <w:i/>
      <w:iCs/>
      <w:color w:val="FF0000"/>
    </w:rPr>
  </w:style>
  <w:style w:type="paragraph" w:styleId="ou" w:customStyle="1">
    <w:name w:val="ou"/>
    <w:basedOn w:val="ListParagraph"/>
    <w:qFormat/>
    <w:pPr>
      <w:spacing w:lineRule="auto" w:line="259" w:before="60" w:after="60"/>
      <w:ind w:left="0"/>
      <w:contextualSpacing w:val="false"/>
      <w:jc w:val="center"/>
    </w:pPr>
    <w:rPr>
      <w:rFonts w:ascii="Arial" w:hAnsi="Arial" w:eastAsia="Calibri" w:cs="Arial" w:eastAsiaTheme="minorHAnsi"/>
      <w:b/>
      <w:bCs/>
      <w:i/>
      <w:iCs/>
      <w:color w:val="FF0000"/>
      <w:sz w:val="20"/>
      <w:u w:val="single"/>
    </w:rPr>
  </w:style>
  <w:style w:type="paragraph" w:styleId="Nvel3-R" w:customStyle="1">
    <w:name w:val="Nível 3-R"/>
    <w:basedOn w:val="Normal"/>
    <w:qFormat/>
    <w:pPr>
      <w:numPr>
        <w:ilvl w:val="2"/>
        <w:numId w:val="1"/>
      </w:numPr>
      <w:spacing w:lineRule="auto" w:line="276" w:before="120" w:after="120"/>
      <w:ind w:hanging="0" w:left="284"/>
      <w:jc w:val="both"/>
    </w:pPr>
    <w:rPr>
      <w:rFonts w:ascii="Arial" w:hAnsi="Arial" w:eastAsia="Arial" w:cs="Arial" w:eastAsiaTheme="minorEastAsia"/>
      <w:i/>
      <w:iCs/>
      <w:color w:val="FF0000"/>
      <w:sz w:val="20"/>
      <w:szCs w:val="20"/>
    </w:rPr>
  </w:style>
  <w:style w:type="paragraph" w:styleId="Nvel3" w:customStyle="1">
    <w:name w:val="Nível 3"/>
    <w:basedOn w:val="Nvel3-R"/>
    <w:qFormat/>
    <w:pPr/>
    <w:rPr>
      <w:rFonts w:eastAsia="Times New Roman"/>
      <w:i w:val="false"/>
      <w:iCs w:val="false"/>
      <w:color w:val="auto"/>
    </w:rPr>
  </w:style>
  <w:style w:type="paragraph" w:styleId="Nvel4" w:customStyle="1">
    <w:name w:val="Nível 4"/>
    <w:basedOn w:val="Nvel3"/>
    <w:qFormat/>
    <w:pPr>
      <w:ind w:hanging="0" w:left="567"/>
    </w:pPr>
    <w:rPr/>
  </w:style>
  <w:style w:type="paragraph" w:styleId="SubTitNN" w:customStyle="1">
    <w:name w:val="SubTitNN"/>
    <w:basedOn w:val="Normal"/>
    <w:qFormat/>
    <w:pPr>
      <w:spacing w:lineRule="auto" w:line="276" w:before="240" w:after="120"/>
      <w:jc w:val="both"/>
    </w:pPr>
    <w:rPr>
      <w:rFonts w:ascii="Arial" w:hAnsi="Arial" w:cs="Arial"/>
      <w:b/>
      <w:bCs/>
      <w:iCs/>
      <w:sz w:val="20"/>
      <w:szCs w:val="20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Segoe UI" w:cs="Tahoma"/>
      <w:color w:val="000000"/>
      <w:kern w:val="0"/>
      <w:sz w:val="24"/>
      <w:szCs w:val="24"/>
      <w:lang w:val="en-US" w:eastAsia="en-US" w:bidi="en-US"/>
    </w:rPr>
  </w:style>
  <w:style w:type="numbering" w:styleId="Semlista" w:default="1">
    <w:name w:val="Sem lista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png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oter" Target="footer3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<Relationship Id="rId14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LibreOffice/24.8.0.3$Windows_X86_64 LibreOffice_project/0bdf1299c94fe897b119f97f3c613e9dca6be583</Application>
  <AppVersion>15.0000</AppVersion>
  <Pages>9</Pages>
  <Words>2960</Words>
  <Characters>16442</Characters>
  <CharactersWithSpaces>19196</CharactersWithSpaces>
  <Paragraphs>165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2023-05-20T12:12:00Z</dcterms:created>
  <dc:creator/>
  <dc:description/>
  <dc:language>pt-BR</dc:language>
  <cp:lastModifiedBy/>
  <dcterms:modified xsi:type="dcterms:W3CDTF">2025-01-13T10:39:02Z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